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>
        <w:rPr>
          <w:b/>
        </w:rPr>
        <w:t xml:space="preserve">Согласие на обработку персональных данных покупателей древесины</w:t>
      </w:r>
      <w:r/>
    </w:p>
    <w:p>
      <w:pPr>
        <w:jc w:val="center"/>
        <w:rPr>
          <w:b/>
          <w:bCs/>
          <w:highlight w:val="yellow"/>
        </w:rPr>
      </w:pPr>
      <w:r>
        <w:rPr>
          <w:b/>
        </w:rPr>
      </w:r>
      <w:r>
        <w:rPr>
          <w:b/>
          <w:highlight w:val="yellow"/>
        </w:rPr>
      </w:r>
      <w:r>
        <w:rPr>
          <w:b/>
          <w:bCs/>
          <w:highlight w:val="yellow"/>
        </w:rPr>
      </w:r>
    </w:p>
    <w:p>
      <w:pPr>
        <w:jc w:val="both"/>
      </w:pPr>
      <w:r>
        <w:t xml:space="preserve">Субъект персональных данных _____________________________________________________________________</w:t>
      </w:r>
      <w:r/>
    </w:p>
    <w:p>
      <w:pPr>
        <w:jc w:val="both"/>
      </w:pPr>
      <w:r>
        <w:t xml:space="preserve">паспорт серия________ номер ____________ выдан_______________________________________________________________________________________________________________________________________</w:t>
      </w:r>
      <w:r/>
    </w:p>
    <w:p>
      <w:pPr>
        <w:jc w:val="both"/>
      </w:pPr>
      <w:r>
        <w:t xml:space="preserve">дата выдачи________________. </w:t>
      </w:r>
      <w:r>
        <w:t xml:space="preserve">Адрес регистрации: ____________________________________________________________________________________________________________________________________________</w:t>
      </w:r>
      <w:r/>
    </w:p>
    <w:p>
      <w:pPr>
        <w:ind w:left="0" w:firstLine="567"/>
        <w:jc w:val="both"/>
      </w:pPr>
      <w:r>
        <w:t xml:space="preserve">В соответствии с требованиями ст. 9 Федерального закона от 27.07.2006 </w:t>
      </w:r>
      <w:r>
        <w:t xml:space="preserve">№ 152-ФЗ «О персональных данных», подтверждаю свое согласие на обработку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Межрегиональным территориальным управлением Федерального агентства по управлению государственным имуществом в Тюменской области, Ханты-Мансийском автономном округе-Югре, Ямало-Ненецком автономном округе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адресу: ул. Володарского, д.10, г.Тюмень, Тюменская область, 625003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t xml:space="preserve">(далее – МТУ Росимущества) моих персональных </w:t>
      </w:r>
      <w:r>
        <w:t xml:space="preserve">данных, включающих: фамилию, имя, отчество, пол, дату рождения, адрес места </w:t>
      </w:r>
      <w:r>
        <w:t xml:space="preserve">жительства, контактные телефоны, реквизиты паспорта (документа </w:t>
      </w:r>
      <w:r>
        <w:t xml:space="preserve">удостоверения личности), в целях заключения договора купли-продажи в </w:t>
      </w:r>
      <w:r>
        <w:t xml:space="preserve">отношении имущества, арестованного во исполнение судебных решений или </w:t>
      </w:r>
      <w:r>
        <w:t xml:space="preserve">актов органов, которым предоставлено право принимать решения об обращении </w:t>
      </w:r>
      <w:r>
        <w:t xml:space="preserve">взыскания на имущество.</w:t>
      </w:r>
      <w:r/>
    </w:p>
    <w:p>
      <w:pPr>
        <w:ind w:left="0" w:firstLine="567"/>
        <w:jc w:val="both"/>
      </w:pPr>
      <w:r>
        <w:t xml:space="preserve">Предоставляю </w:t>
      </w:r>
      <w:r>
        <w:t xml:space="preserve">МТУ Росимущества</w:t>
      </w:r>
      <w:r>
        <w:t xml:space="preserve"> право осуществлять все действия </w:t>
      </w:r>
      <w:r>
        <w:t xml:space="preserve">(операции) с персональными данными, включая сбор, запись, систематизацию, </w:t>
      </w:r>
      <w:r>
        <w:t xml:space="preserve">накопление, хранение, уточнение (обновление, изменение), извлечение, </w:t>
      </w:r>
      <w:r>
        <w:t xml:space="preserve">использование, передачу (в Росимущество и иные контрольные и надзорные </w:t>
      </w:r>
      <w:r>
        <w:t xml:space="preserve">организации), обезличивание, блокирование, удаление, уничтожение.</w:t>
      </w:r>
      <w:r/>
    </w:p>
    <w:p>
      <w:pPr>
        <w:ind w:left="0" w:firstLine="567"/>
        <w:jc w:val="both"/>
      </w:pPr>
      <w:r>
        <w:t xml:space="preserve">МТУ Росимущества</w:t>
      </w:r>
      <w:r>
        <w:t xml:space="preserve"> вправе осуществлять следующие способы обработки </w:t>
      </w:r>
      <w:r>
        <w:t xml:space="preserve">персональных данных: на бумажных носителях, в информационных системах </w:t>
      </w:r>
      <w:r>
        <w:t xml:space="preserve">персональных данных с использованием и без использования средств </w:t>
      </w:r>
      <w:r>
        <w:t xml:space="preserve">автоматизации, а также смешанным способом. </w:t>
      </w:r>
      <w:r/>
    </w:p>
    <w:p>
      <w:pPr>
        <w:ind w:left="0" w:firstLine="567"/>
        <w:jc w:val="both"/>
      </w:pPr>
      <w:r>
        <w:t xml:space="preserve">МТУ Росимущества</w:t>
      </w:r>
      <w:r>
        <w:t xml:space="preserve"> вправе </w:t>
      </w:r>
      <w:r>
        <w:t xml:space="preserve">обрабатывать персональные данные посредством внесения их в электронные </w:t>
      </w:r>
      <w:r>
        <w:t xml:space="preserve">базы данных, включения в списки (реестры) и отчетные формы, </w:t>
      </w:r>
      <w:r>
        <w:t xml:space="preserve">предусмотренные документами, регламентирующими предоставление отчетных </w:t>
      </w:r>
      <w:r>
        <w:t xml:space="preserve">данных (документов) контрольным и надзорным органам или иным лицам в </w:t>
      </w:r>
      <w:r>
        <w:t xml:space="preserve">случаях, если это предусмотрено законодательством Российской Федерации.</w:t>
      </w:r>
      <w:r/>
    </w:p>
    <w:p>
      <w:pPr>
        <w:ind w:left="0" w:firstLine="567"/>
        <w:jc w:val="both"/>
      </w:pPr>
      <w:r>
        <w:t xml:space="preserve"> </w:t>
      </w:r>
      <w:r>
        <w:t xml:space="preserve">МТУ Росимущества</w:t>
      </w:r>
      <w:r>
        <w:t xml:space="preserve"> имеет право во исполнение своих обязательств, на </w:t>
      </w:r>
      <w:r>
        <w:t xml:space="preserve">прием и передачу персональных данных в Росимущество и иные</w:t>
      </w:r>
      <w:r/>
    </w:p>
    <w:p>
      <w:pPr>
        <w:jc w:val="both"/>
      </w:pPr>
      <w:r>
        <w:t xml:space="preserve">государственные органы, в том числе контрольные и надзорные органы с </w:t>
      </w:r>
      <w:r>
        <w:t xml:space="preserve">использованием носителей информации или по каналам связи, с соблюдением </w:t>
      </w:r>
      <w:r>
        <w:t xml:space="preserve">мер, обеспечивающих их защиту от несанкционированного доступа. Передача </w:t>
      </w:r>
      <w:r>
        <w:t xml:space="preserve">персональных данных в иных случаях другим лицам или иное их разглашение </w:t>
      </w:r>
      <w:r>
        <w:t xml:space="preserve">может осуществляться только с моего письменного согласия, либо в случаях, </w:t>
      </w:r>
      <w:r>
        <w:t xml:space="preserve">установленных действующим законодательством Российской Федерации.</w:t>
      </w:r>
      <w:r/>
    </w:p>
    <w:p>
      <w:pPr>
        <w:ind w:left="0" w:firstLine="567"/>
        <w:jc w:val="both"/>
      </w:pPr>
      <w:r>
        <w:t xml:space="preserve"> Я проинформирован(а) о том, что электронная почта является открытым </w:t>
      </w:r>
      <w:r>
        <w:t xml:space="preserve">источником информации и незащищённым открытым каналом связи, </w:t>
      </w:r>
      <w:r>
        <w:t xml:space="preserve">передаваемая информация может стать известна третьим лицам.</w:t>
      </w:r>
      <w:r/>
    </w:p>
    <w:p>
      <w:pPr>
        <w:ind w:left="709" w:firstLine="0"/>
        <w:jc w:val="both"/>
      </w:pPr>
      <w:r>
        <w:t xml:space="preserve">За несанкционированный доступ к моему почтовому ящику третьих лиц, а</w:t>
      </w:r>
      <w:r/>
    </w:p>
    <w:p>
      <w:pPr>
        <w:jc w:val="both"/>
      </w:pPr>
      <w:r>
        <w:t xml:space="preserve">равно и за доступ к моим персональным данным, сведениям, составляющим охраняемую законом тайну и утечку информации </w:t>
      </w:r>
      <w:r>
        <w:t xml:space="preserve">МТУ Росимущества</w:t>
      </w:r>
      <w:r>
        <w:t xml:space="preserve"> </w:t>
      </w:r>
      <w:r>
        <w:t xml:space="preserve">ответственности не несет.</w:t>
      </w:r>
      <w:r/>
    </w:p>
    <w:p>
      <w:pPr>
        <w:ind w:left="0" w:firstLine="567"/>
        <w:jc w:val="both"/>
      </w:pPr>
      <w:r>
        <w:t xml:space="preserve">Настоящим принимаю на себя ответственность и все риски, связанные с </w:t>
      </w:r>
      <w:r>
        <w:t xml:space="preserve">несанкционированным доступом к моему почтовому ящику (персональным </w:t>
      </w:r>
      <w:r>
        <w:t xml:space="preserve">данным, сведениям, составляющим охраняемую законом тайну третьих лиц.</w:t>
      </w:r>
      <w:r/>
    </w:p>
    <w:p>
      <w:pPr>
        <w:ind w:left="709" w:firstLine="0"/>
        <w:jc w:val="both"/>
      </w:pPr>
      <w:r>
        <w:t xml:space="preserve">Настоящее согласие действует бессрочно.</w:t>
      </w:r>
      <w:r/>
    </w:p>
    <w:p>
      <w:pPr>
        <w:ind w:left="0" w:firstLine="567"/>
        <w:jc w:val="both"/>
      </w:pPr>
      <w:r>
        <w:t xml:space="preserve">  Отзыв согласия осуществляется путем подачи субъектом персональных </w:t>
      </w:r>
      <w:r>
        <w:t xml:space="preserve">данных или его законным представителем соответствующего письменного </w:t>
      </w:r>
      <w:r>
        <w:t xml:space="preserve">заявления </w:t>
      </w:r>
      <w:r>
        <w:t xml:space="preserve">МТУ Росимущества</w:t>
      </w:r>
      <w:r>
        <w:t xml:space="preserve">, получившему согласие.</w:t>
      </w:r>
      <w:r/>
    </w:p>
    <w:p>
      <w:pPr>
        <w:jc w:val="both"/>
      </w:pPr>
      <w:r/>
      <w:r/>
    </w:p>
    <w:p>
      <w:pPr>
        <w:jc w:val="both"/>
      </w:pPr>
      <w:r>
        <w:t xml:space="preserve">«____» ___________ 20 ___ г.</w:t>
      </w:r>
      <w:r/>
    </w:p>
    <w:p>
      <w:pPr>
        <w:jc w:val="both"/>
      </w:pPr>
      <w:r/>
      <w:r/>
    </w:p>
    <w:p>
      <w:pPr>
        <w:jc w:val="both"/>
      </w:pPr>
      <w:r>
        <w:t xml:space="preserve">_____________</w:t>
      </w:r>
      <w:r/>
    </w:p>
    <w:p>
      <w:pPr>
        <w:jc w:val="both"/>
      </w:pPr>
      <w:r>
        <w:t xml:space="preserve">подпись</w:t>
      </w:r>
      <w:r/>
    </w:p>
    <w:p>
      <w:pPr>
        <w:jc w:val="both"/>
      </w:pPr>
      <w:r/>
      <w:r/>
    </w:p>
    <w:p>
      <w:pPr>
        <w:jc w:val="both"/>
      </w:pPr>
      <w:r>
        <w:t xml:space="preserve">/________________/</w:t>
      </w:r>
      <w:r/>
    </w:p>
    <w:p>
      <w:pPr>
        <w:pStyle w:val="816"/>
        <w:jc w:val="both"/>
      </w:pPr>
      <w:r>
        <w:t xml:space="preserve">(ФИО полностью)</w:t>
      </w:r>
      <w:r/>
    </w:p>
    <w:sectPr>
      <w:footnotePr/>
      <w:endnotePr/>
      <w:type w:val="nextPage"/>
      <w:pgSz w:w="11906" w:h="16838" w:orient="portrait"/>
      <w:pgMar w:top="567" w:right="737" w:bottom="1134" w:left="130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XO Thames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XO Thames" w:hAnsi="XO Thames" w:eastAsia="Times New Roman" w:cs="Times New Roman"/>
        <w:color w:val="000000"/>
        <w:sz w:val="24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Default Paragraph Font"/>
    <w:uiPriority w:val="1"/>
    <w:semiHidden/>
    <w:unhideWhenUsed/>
  </w:style>
  <w:style w:type="character" w:styleId="655">
    <w:name w:val="Heading 1 Char"/>
    <w:basedOn w:val="654"/>
    <w:link w:val="835"/>
    <w:uiPriority w:val="9"/>
    <w:rPr>
      <w:rFonts w:ascii="Arial" w:hAnsi="Arial" w:eastAsia="Arial" w:cs="Arial"/>
      <w:sz w:val="40"/>
      <w:szCs w:val="40"/>
    </w:rPr>
  </w:style>
  <w:style w:type="character" w:styleId="656">
    <w:name w:val="Heading 2 Char"/>
    <w:basedOn w:val="654"/>
    <w:link w:val="857"/>
    <w:uiPriority w:val="9"/>
    <w:rPr>
      <w:rFonts w:ascii="Arial" w:hAnsi="Arial" w:eastAsia="Arial" w:cs="Arial"/>
      <w:sz w:val="34"/>
    </w:rPr>
  </w:style>
  <w:style w:type="character" w:styleId="657">
    <w:name w:val="Heading 3 Char"/>
    <w:basedOn w:val="654"/>
    <w:link w:val="829"/>
    <w:uiPriority w:val="9"/>
    <w:rPr>
      <w:rFonts w:ascii="Arial" w:hAnsi="Arial" w:eastAsia="Arial" w:cs="Arial"/>
      <w:sz w:val="30"/>
      <w:szCs w:val="30"/>
    </w:rPr>
  </w:style>
  <w:style w:type="character" w:styleId="658">
    <w:name w:val="Heading 4 Char"/>
    <w:basedOn w:val="654"/>
    <w:link w:val="855"/>
    <w:uiPriority w:val="9"/>
    <w:rPr>
      <w:rFonts w:ascii="Arial" w:hAnsi="Arial" w:eastAsia="Arial" w:cs="Arial"/>
      <w:b/>
      <w:bCs/>
      <w:sz w:val="26"/>
      <w:szCs w:val="26"/>
    </w:rPr>
  </w:style>
  <w:style w:type="character" w:styleId="659">
    <w:name w:val="Heading 5 Char"/>
    <w:basedOn w:val="654"/>
    <w:link w:val="833"/>
    <w:uiPriority w:val="9"/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817"/>
    <w:next w:val="817"/>
    <w:link w:val="66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1">
    <w:name w:val="Heading 6 Char"/>
    <w:basedOn w:val="654"/>
    <w:link w:val="660"/>
    <w:uiPriority w:val="9"/>
    <w:rPr>
      <w:rFonts w:ascii="Arial" w:hAnsi="Arial" w:eastAsia="Arial" w:cs="Arial"/>
      <w:b/>
      <w:bCs/>
      <w:sz w:val="22"/>
      <w:szCs w:val="22"/>
    </w:rPr>
  </w:style>
  <w:style w:type="paragraph" w:styleId="662">
    <w:name w:val="Heading 7"/>
    <w:basedOn w:val="817"/>
    <w:next w:val="817"/>
    <w:link w:val="66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3">
    <w:name w:val="Heading 7 Char"/>
    <w:basedOn w:val="654"/>
    <w:link w:val="66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4">
    <w:name w:val="Heading 8"/>
    <w:basedOn w:val="817"/>
    <w:next w:val="817"/>
    <w:link w:val="6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5">
    <w:name w:val="Heading 8 Char"/>
    <w:basedOn w:val="654"/>
    <w:link w:val="664"/>
    <w:uiPriority w:val="9"/>
    <w:rPr>
      <w:rFonts w:ascii="Arial" w:hAnsi="Arial" w:eastAsia="Arial" w:cs="Arial"/>
      <w:i/>
      <w:iCs/>
      <w:sz w:val="22"/>
      <w:szCs w:val="22"/>
    </w:rPr>
  </w:style>
  <w:style w:type="paragraph" w:styleId="666">
    <w:name w:val="Heading 9"/>
    <w:basedOn w:val="817"/>
    <w:next w:val="817"/>
    <w:link w:val="66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7">
    <w:name w:val="Heading 9 Char"/>
    <w:basedOn w:val="654"/>
    <w:link w:val="666"/>
    <w:uiPriority w:val="9"/>
    <w:rPr>
      <w:rFonts w:ascii="Arial" w:hAnsi="Arial" w:eastAsia="Arial" w:cs="Arial"/>
      <w:i/>
      <w:iCs/>
      <w:sz w:val="21"/>
      <w:szCs w:val="21"/>
    </w:rPr>
  </w:style>
  <w:style w:type="paragraph" w:styleId="668">
    <w:name w:val="List Paragraph"/>
    <w:basedOn w:val="817"/>
    <w:uiPriority w:val="34"/>
    <w:qFormat/>
    <w:pPr>
      <w:contextualSpacing/>
      <w:ind w:left="720"/>
    </w:pPr>
  </w:style>
  <w:style w:type="paragraph" w:styleId="669">
    <w:name w:val="No Spacing"/>
    <w:uiPriority w:val="1"/>
    <w:qFormat/>
    <w:pPr>
      <w:spacing w:before="0" w:after="0" w:line="240" w:lineRule="auto"/>
    </w:pPr>
  </w:style>
  <w:style w:type="character" w:styleId="670">
    <w:name w:val="Title Char"/>
    <w:basedOn w:val="654"/>
    <w:link w:val="853"/>
    <w:uiPriority w:val="10"/>
    <w:rPr>
      <w:sz w:val="48"/>
      <w:szCs w:val="48"/>
    </w:rPr>
  </w:style>
  <w:style w:type="character" w:styleId="671">
    <w:name w:val="Subtitle Char"/>
    <w:basedOn w:val="654"/>
    <w:link w:val="851"/>
    <w:uiPriority w:val="11"/>
    <w:rPr>
      <w:sz w:val="24"/>
      <w:szCs w:val="24"/>
    </w:rPr>
  </w:style>
  <w:style w:type="paragraph" w:styleId="672">
    <w:name w:val="Quote"/>
    <w:basedOn w:val="817"/>
    <w:next w:val="817"/>
    <w:link w:val="673"/>
    <w:uiPriority w:val="29"/>
    <w:qFormat/>
    <w:pPr>
      <w:ind w:left="720" w:right="720"/>
    </w:pPr>
    <w:rPr>
      <w:i/>
    </w:rPr>
  </w:style>
  <w:style w:type="character" w:styleId="673">
    <w:name w:val="Quote Char"/>
    <w:link w:val="672"/>
    <w:uiPriority w:val="29"/>
    <w:rPr>
      <w:i/>
    </w:rPr>
  </w:style>
  <w:style w:type="paragraph" w:styleId="674">
    <w:name w:val="Intense Quote"/>
    <w:basedOn w:val="817"/>
    <w:next w:val="817"/>
    <w:link w:val="67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5">
    <w:name w:val="Intense Quote Char"/>
    <w:link w:val="674"/>
    <w:uiPriority w:val="30"/>
    <w:rPr>
      <w:i/>
    </w:rPr>
  </w:style>
  <w:style w:type="paragraph" w:styleId="676">
    <w:name w:val="Header"/>
    <w:basedOn w:val="817"/>
    <w:link w:val="67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7">
    <w:name w:val="Header Char"/>
    <w:basedOn w:val="654"/>
    <w:link w:val="676"/>
    <w:uiPriority w:val="99"/>
  </w:style>
  <w:style w:type="paragraph" w:styleId="678">
    <w:name w:val="Footer"/>
    <w:basedOn w:val="817"/>
    <w:link w:val="67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9">
    <w:name w:val="Footer Char"/>
    <w:basedOn w:val="654"/>
    <w:link w:val="678"/>
    <w:uiPriority w:val="99"/>
  </w:style>
  <w:style w:type="paragraph" w:styleId="680">
    <w:name w:val="Caption"/>
    <w:basedOn w:val="817"/>
    <w:next w:val="817"/>
    <w:link w:val="68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1">
    <w:name w:val="Caption Char"/>
    <w:basedOn w:val="654"/>
    <w:link w:val="680"/>
    <w:uiPriority w:val="35"/>
    <w:rPr>
      <w:b/>
      <w:bCs/>
      <w:color w:val="4f81bd" w:themeColor="accent1"/>
      <w:sz w:val="18"/>
      <w:szCs w:val="18"/>
    </w:rPr>
  </w:style>
  <w:style w:type="table" w:styleId="68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8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8">
    <w:name w:val="footnote text"/>
    <w:basedOn w:val="817"/>
    <w:link w:val="809"/>
    <w:uiPriority w:val="99"/>
    <w:semiHidden/>
    <w:unhideWhenUsed/>
    <w:pPr>
      <w:spacing w:after="40" w:line="240" w:lineRule="auto"/>
    </w:pPr>
    <w:rPr>
      <w:sz w:val="18"/>
    </w:rPr>
  </w:style>
  <w:style w:type="character" w:styleId="809">
    <w:name w:val="Footnote Text Char"/>
    <w:link w:val="808"/>
    <w:uiPriority w:val="99"/>
    <w:rPr>
      <w:sz w:val="18"/>
    </w:rPr>
  </w:style>
  <w:style w:type="character" w:styleId="810">
    <w:name w:val="footnote reference"/>
    <w:basedOn w:val="654"/>
    <w:uiPriority w:val="99"/>
    <w:unhideWhenUsed/>
    <w:rPr>
      <w:vertAlign w:val="superscript"/>
    </w:rPr>
  </w:style>
  <w:style w:type="paragraph" w:styleId="811">
    <w:name w:val="endnote text"/>
    <w:basedOn w:val="817"/>
    <w:link w:val="812"/>
    <w:uiPriority w:val="99"/>
    <w:semiHidden/>
    <w:unhideWhenUsed/>
    <w:pPr>
      <w:spacing w:after="0" w:line="240" w:lineRule="auto"/>
    </w:pPr>
    <w:rPr>
      <w:sz w:val="20"/>
    </w:rPr>
  </w:style>
  <w:style w:type="character" w:styleId="812">
    <w:name w:val="Endnote Text Char"/>
    <w:link w:val="811"/>
    <w:uiPriority w:val="99"/>
    <w:rPr>
      <w:sz w:val="20"/>
    </w:rPr>
  </w:style>
  <w:style w:type="character" w:styleId="813">
    <w:name w:val="endnote reference"/>
    <w:basedOn w:val="654"/>
    <w:uiPriority w:val="99"/>
    <w:semiHidden/>
    <w:unhideWhenUsed/>
    <w:rPr>
      <w:vertAlign w:val="superscript"/>
    </w:rPr>
  </w:style>
  <w:style w:type="paragraph" w:styleId="814">
    <w:name w:val="TOC Heading"/>
    <w:uiPriority w:val="39"/>
    <w:unhideWhenUsed/>
  </w:style>
  <w:style w:type="paragraph" w:styleId="815">
    <w:name w:val="table of figures"/>
    <w:basedOn w:val="817"/>
    <w:next w:val="817"/>
    <w:uiPriority w:val="99"/>
    <w:unhideWhenUsed/>
    <w:pPr>
      <w:spacing w:after="0" w:afterAutospacing="0"/>
    </w:pPr>
  </w:style>
  <w:style w:type="paragraph" w:styleId="816" w:default="1">
    <w:name w:val="Normal"/>
    <w:link w:val="817"/>
    <w:uiPriority w:val="0"/>
    <w:qFormat/>
    <w:pPr>
      <w:jc w:val="both"/>
      <w:spacing w:line="240" w:lineRule="auto"/>
    </w:pPr>
    <w:rPr>
      <w:rFonts w:ascii="XO Thames" w:hAnsi="XO Thames"/>
      <w:sz w:val="28"/>
    </w:rPr>
  </w:style>
  <w:style w:type="character" w:styleId="817" w:default="1">
    <w:name w:val="Normal"/>
    <w:link w:val="816"/>
    <w:rPr>
      <w:rFonts w:ascii="XO Thames" w:hAnsi="XO Thames"/>
      <w:sz w:val="28"/>
    </w:rPr>
  </w:style>
  <w:style w:type="paragraph" w:styleId="818">
    <w:name w:val="toc 2"/>
    <w:next w:val="816"/>
    <w:link w:val="819"/>
    <w:uiPriority w:val="39"/>
    <w:pPr>
      <w:ind w:left="200" w:firstLine="0"/>
      <w:jc w:val="left"/>
    </w:pPr>
    <w:rPr>
      <w:rFonts w:ascii="XO Thames" w:hAnsi="XO Thames"/>
      <w:sz w:val="28"/>
    </w:rPr>
  </w:style>
  <w:style w:type="character" w:styleId="819">
    <w:name w:val="toc 2"/>
    <w:link w:val="818"/>
    <w:rPr>
      <w:rFonts w:ascii="XO Thames" w:hAnsi="XO Thames"/>
      <w:sz w:val="28"/>
    </w:rPr>
  </w:style>
  <w:style w:type="paragraph" w:styleId="820">
    <w:name w:val="toc 4"/>
    <w:next w:val="816"/>
    <w:link w:val="821"/>
    <w:uiPriority w:val="39"/>
    <w:pPr>
      <w:ind w:left="600" w:firstLine="0"/>
      <w:jc w:val="left"/>
    </w:pPr>
    <w:rPr>
      <w:rFonts w:ascii="XO Thames" w:hAnsi="XO Thames"/>
      <w:sz w:val="28"/>
    </w:rPr>
  </w:style>
  <w:style w:type="character" w:styleId="821">
    <w:name w:val="toc 4"/>
    <w:link w:val="820"/>
    <w:rPr>
      <w:rFonts w:ascii="XO Thames" w:hAnsi="XO Thames"/>
      <w:sz w:val="28"/>
    </w:rPr>
  </w:style>
  <w:style w:type="paragraph" w:styleId="822">
    <w:name w:val="toc 6"/>
    <w:next w:val="816"/>
    <w:link w:val="823"/>
    <w:uiPriority w:val="39"/>
    <w:pPr>
      <w:ind w:left="1000" w:firstLine="0"/>
      <w:jc w:val="left"/>
    </w:pPr>
    <w:rPr>
      <w:rFonts w:ascii="XO Thames" w:hAnsi="XO Thames"/>
      <w:sz w:val="28"/>
    </w:rPr>
  </w:style>
  <w:style w:type="character" w:styleId="823">
    <w:name w:val="toc 6"/>
    <w:link w:val="822"/>
    <w:rPr>
      <w:rFonts w:ascii="XO Thames" w:hAnsi="XO Thames"/>
      <w:sz w:val="28"/>
    </w:rPr>
  </w:style>
  <w:style w:type="paragraph" w:styleId="824">
    <w:name w:val="toc 7"/>
    <w:next w:val="816"/>
    <w:link w:val="825"/>
    <w:uiPriority w:val="39"/>
    <w:pPr>
      <w:ind w:left="1200" w:firstLine="0"/>
      <w:jc w:val="left"/>
    </w:pPr>
    <w:rPr>
      <w:rFonts w:ascii="XO Thames" w:hAnsi="XO Thames"/>
      <w:sz w:val="28"/>
    </w:rPr>
  </w:style>
  <w:style w:type="character" w:styleId="825">
    <w:name w:val="toc 7"/>
    <w:link w:val="824"/>
    <w:rPr>
      <w:rFonts w:ascii="XO Thames" w:hAnsi="XO Thames"/>
      <w:sz w:val="28"/>
    </w:rPr>
  </w:style>
  <w:style w:type="paragraph" w:styleId="826">
    <w:name w:val="Endnote"/>
    <w:link w:val="827"/>
    <w:pPr>
      <w:ind w:left="0" w:firstLine="851"/>
      <w:jc w:val="both"/>
    </w:pPr>
    <w:rPr>
      <w:rFonts w:ascii="XO Thames" w:hAnsi="XO Thames"/>
      <w:sz w:val="22"/>
    </w:rPr>
  </w:style>
  <w:style w:type="character" w:styleId="827">
    <w:name w:val="Endnote"/>
    <w:link w:val="826"/>
    <w:rPr>
      <w:rFonts w:ascii="XO Thames" w:hAnsi="XO Thames"/>
      <w:sz w:val="22"/>
    </w:rPr>
  </w:style>
  <w:style w:type="paragraph" w:styleId="828">
    <w:name w:val="Heading 3"/>
    <w:next w:val="816"/>
    <w:link w:val="829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character" w:styleId="829">
    <w:name w:val="Heading 3"/>
    <w:link w:val="828"/>
    <w:rPr>
      <w:rFonts w:ascii="XO Thames" w:hAnsi="XO Thames"/>
      <w:b/>
      <w:sz w:val="26"/>
    </w:rPr>
  </w:style>
  <w:style w:type="paragraph" w:styleId="830">
    <w:name w:val="toc 3"/>
    <w:next w:val="816"/>
    <w:link w:val="831"/>
    <w:uiPriority w:val="39"/>
    <w:pPr>
      <w:ind w:left="400" w:firstLine="0"/>
      <w:jc w:val="left"/>
    </w:pPr>
    <w:rPr>
      <w:rFonts w:ascii="XO Thames" w:hAnsi="XO Thames"/>
      <w:sz w:val="28"/>
    </w:rPr>
  </w:style>
  <w:style w:type="character" w:styleId="831">
    <w:name w:val="toc 3"/>
    <w:link w:val="830"/>
    <w:rPr>
      <w:rFonts w:ascii="XO Thames" w:hAnsi="XO Thames"/>
      <w:sz w:val="28"/>
    </w:rPr>
  </w:style>
  <w:style w:type="paragraph" w:styleId="832">
    <w:name w:val="Heading 5"/>
    <w:next w:val="816"/>
    <w:link w:val="833"/>
    <w:uiPriority w:val="9"/>
    <w:qFormat/>
    <w:pPr>
      <w:jc w:val="both"/>
      <w:spacing w:before="120" w:after="120"/>
      <w:outlineLvl w:val="4"/>
    </w:pPr>
    <w:rPr>
      <w:rFonts w:ascii="XO Thames" w:hAnsi="XO Thames"/>
      <w:b/>
      <w:sz w:val="22"/>
    </w:rPr>
  </w:style>
  <w:style w:type="character" w:styleId="833">
    <w:name w:val="Heading 5"/>
    <w:link w:val="832"/>
    <w:rPr>
      <w:rFonts w:ascii="XO Thames" w:hAnsi="XO Thames"/>
      <w:b/>
      <w:sz w:val="22"/>
    </w:rPr>
  </w:style>
  <w:style w:type="paragraph" w:styleId="834">
    <w:name w:val="Heading 1"/>
    <w:next w:val="816"/>
    <w:link w:val="835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character" w:styleId="835">
    <w:name w:val="Heading 1"/>
    <w:link w:val="834"/>
    <w:rPr>
      <w:rFonts w:ascii="XO Thames" w:hAnsi="XO Thames"/>
      <w:b/>
      <w:sz w:val="32"/>
    </w:rPr>
  </w:style>
  <w:style w:type="paragraph" w:styleId="836">
    <w:name w:val="Hyperlink"/>
    <w:link w:val="837"/>
    <w:rPr>
      <w:color w:val="0000ff"/>
      <w:u w:val="single"/>
    </w:rPr>
  </w:style>
  <w:style w:type="character" w:styleId="837">
    <w:name w:val="Hyperlink"/>
    <w:link w:val="836"/>
    <w:rPr>
      <w:color w:val="0000ff"/>
      <w:u w:val="single"/>
    </w:rPr>
  </w:style>
  <w:style w:type="paragraph" w:styleId="838">
    <w:name w:val="Footnote"/>
    <w:link w:val="839"/>
    <w:pPr>
      <w:ind w:left="0" w:firstLine="851"/>
      <w:jc w:val="both"/>
    </w:pPr>
    <w:rPr>
      <w:rFonts w:ascii="XO Thames" w:hAnsi="XO Thames"/>
      <w:sz w:val="22"/>
    </w:rPr>
  </w:style>
  <w:style w:type="character" w:styleId="839">
    <w:name w:val="Footnote"/>
    <w:link w:val="838"/>
    <w:rPr>
      <w:rFonts w:ascii="XO Thames" w:hAnsi="XO Thames"/>
      <w:sz w:val="22"/>
    </w:rPr>
  </w:style>
  <w:style w:type="paragraph" w:styleId="840">
    <w:name w:val="toc 1"/>
    <w:next w:val="816"/>
    <w:link w:val="841"/>
    <w:uiPriority w:val="39"/>
    <w:pPr>
      <w:ind w:left="0" w:firstLine="0"/>
      <w:jc w:val="left"/>
    </w:pPr>
    <w:rPr>
      <w:rFonts w:ascii="XO Thames" w:hAnsi="XO Thames"/>
      <w:b/>
      <w:sz w:val="28"/>
    </w:rPr>
  </w:style>
  <w:style w:type="character" w:styleId="841">
    <w:name w:val="toc 1"/>
    <w:link w:val="840"/>
    <w:rPr>
      <w:rFonts w:ascii="XO Thames" w:hAnsi="XO Thames"/>
      <w:b/>
      <w:sz w:val="28"/>
    </w:rPr>
  </w:style>
  <w:style w:type="paragraph" w:styleId="842">
    <w:name w:val="Header and Footer"/>
    <w:link w:val="843"/>
    <w:pPr>
      <w:jc w:val="both"/>
      <w:spacing w:line="240" w:lineRule="auto"/>
    </w:pPr>
    <w:rPr>
      <w:rFonts w:ascii="XO Thames" w:hAnsi="XO Thames"/>
      <w:sz w:val="28"/>
    </w:rPr>
  </w:style>
  <w:style w:type="character" w:styleId="843">
    <w:name w:val="Header and Footer"/>
    <w:link w:val="842"/>
    <w:rPr>
      <w:rFonts w:ascii="XO Thames" w:hAnsi="XO Thames"/>
      <w:sz w:val="28"/>
    </w:rPr>
  </w:style>
  <w:style w:type="paragraph" w:styleId="844">
    <w:name w:val="toc 9"/>
    <w:next w:val="816"/>
    <w:link w:val="845"/>
    <w:uiPriority w:val="39"/>
    <w:pPr>
      <w:ind w:left="1600" w:firstLine="0"/>
      <w:jc w:val="left"/>
    </w:pPr>
    <w:rPr>
      <w:rFonts w:ascii="XO Thames" w:hAnsi="XO Thames"/>
      <w:sz w:val="28"/>
    </w:rPr>
  </w:style>
  <w:style w:type="character" w:styleId="845">
    <w:name w:val="toc 9"/>
    <w:link w:val="844"/>
    <w:rPr>
      <w:rFonts w:ascii="XO Thames" w:hAnsi="XO Thames"/>
      <w:sz w:val="28"/>
    </w:rPr>
  </w:style>
  <w:style w:type="paragraph" w:styleId="846">
    <w:name w:val="toc 8"/>
    <w:next w:val="816"/>
    <w:link w:val="847"/>
    <w:uiPriority w:val="39"/>
    <w:pPr>
      <w:ind w:left="1400" w:firstLine="0"/>
      <w:jc w:val="left"/>
    </w:pPr>
    <w:rPr>
      <w:rFonts w:ascii="XO Thames" w:hAnsi="XO Thames"/>
      <w:sz w:val="28"/>
    </w:rPr>
  </w:style>
  <w:style w:type="character" w:styleId="847">
    <w:name w:val="toc 8"/>
    <w:link w:val="846"/>
    <w:rPr>
      <w:rFonts w:ascii="XO Thames" w:hAnsi="XO Thames"/>
      <w:sz w:val="28"/>
    </w:rPr>
  </w:style>
  <w:style w:type="paragraph" w:styleId="848">
    <w:name w:val="toc 5"/>
    <w:next w:val="816"/>
    <w:link w:val="849"/>
    <w:uiPriority w:val="39"/>
    <w:pPr>
      <w:ind w:left="800" w:firstLine="0"/>
      <w:jc w:val="left"/>
    </w:pPr>
    <w:rPr>
      <w:rFonts w:ascii="XO Thames" w:hAnsi="XO Thames"/>
      <w:sz w:val="28"/>
    </w:rPr>
  </w:style>
  <w:style w:type="character" w:styleId="849">
    <w:name w:val="toc 5"/>
    <w:link w:val="848"/>
    <w:rPr>
      <w:rFonts w:ascii="XO Thames" w:hAnsi="XO Thames"/>
      <w:sz w:val="28"/>
    </w:rPr>
  </w:style>
  <w:style w:type="paragraph" w:styleId="850">
    <w:name w:val="Subtitle"/>
    <w:next w:val="816"/>
    <w:link w:val="851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51">
    <w:name w:val="Subtitle"/>
    <w:link w:val="850"/>
    <w:rPr>
      <w:rFonts w:ascii="XO Thames" w:hAnsi="XO Thames"/>
      <w:i/>
      <w:sz w:val="24"/>
    </w:rPr>
  </w:style>
  <w:style w:type="paragraph" w:styleId="852">
    <w:name w:val="Title"/>
    <w:next w:val="816"/>
    <w:link w:val="853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53">
    <w:name w:val="Title"/>
    <w:link w:val="852"/>
    <w:rPr>
      <w:rFonts w:ascii="XO Thames" w:hAnsi="XO Thames"/>
      <w:b/>
      <w:caps/>
      <w:sz w:val="40"/>
    </w:rPr>
  </w:style>
  <w:style w:type="paragraph" w:styleId="854">
    <w:name w:val="Heading 4"/>
    <w:next w:val="816"/>
    <w:link w:val="855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character" w:styleId="855">
    <w:name w:val="Heading 4"/>
    <w:link w:val="854"/>
    <w:rPr>
      <w:rFonts w:ascii="XO Thames" w:hAnsi="XO Thames"/>
      <w:b/>
      <w:sz w:val="24"/>
    </w:rPr>
  </w:style>
  <w:style w:type="paragraph" w:styleId="856">
    <w:name w:val="Heading 2"/>
    <w:next w:val="816"/>
    <w:link w:val="857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character" w:styleId="857">
    <w:name w:val="Heading 2"/>
    <w:link w:val="856"/>
    <w:rPr>
      <w:rFonts w:ascii="XO Thames" w:hAnsi="XO Thames"/>
      <w:b/>
      <w:sz w:val="28"/>
    </w:rPr>
  </w:style>
  <w:style w:type="numbering" w:styleId="858" w:default="1">
    <w:name w:val="No List"/>
    <w:uiPriority w:val="99"/>
    <w:semiHidden/>
    <w:unhideWhenUsed/>
  </w:style>
  <w:style w:type="table" w:styleId="859" w:default="1">
    <w:name w:val="Normal Table"/>
    <w:uiPriority w:val="99"/>
    <w:semiHidden/>
    <w:unhideWhenUsed/>
    <w:tblPr/>
  </w:style>
  <w:style w:type="paragraph" w:styleId="860" w:customStyle="1">
    <w:name w:val="Body Text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Arial"/>
        <a:cs typeface="Arial"/>
      </a:majorFont>
      <a:minorFont>
        <a:latin typeface="XO Tham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e.antipina@rosim.gov.ru</cp:lastModifiedBy>
  <cp:revision>4</cp:revision>
  <dcterms:modified xsi:type="dcterms:W3CDTF">2025-09-23T10:25:12Z</dcterms:modified>
</cp:coreProperties>
</file>